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r>
        <w:rPr>
          <w:rFonts w:ascii="Arial" w:hAnsi="Arial" w:eastAsia="MS Mincho" w:cs="Arial"/>
          <w:b/>
          <w:sz w:val="24"/>
          <w:szCs w:val="24"/>
        </w:rPr>
        <w:t>3GPP TSG-RAN WG4 Meeting #</w:t>
      </w:r>
      <w:r>
        <w:rPr>
          <w:rFonts w:hint="eastAsia" w:ascii="Arial" w:hAnsi="Arial" w:eastAsia="宋体" w:cs="Arial"/>
          <w:b/>
          <w:sz w:val="24"/>
          <w:szCs w:val="24"/>
          <w:lang w:val="en-US" w:eastAsia="zh-CN"/>
        </w:rPr>
        <w:t>113</w:t>
      </w:r>
      <w:r>
        <w:rPr>
          <w:rFonts w:ascii="Arial" w:hAnsi="Arial" w:eastAsia="MS Mincho" w:cs="Arial"/>
          <w:b/>
          <w:sz w:val="24"/>
          <w:szCs w:val="24"/>
        </w:rPr>
        <w:tab/>
      </w:r>
      <w:r>
        <w:rPr>
          <w:rFonts w:ascii="Arial" w:hAnsi="Arial" w:eastAsia="MS Mincho" w:cs="Arial"/>
          <w:b/>
          <w:sz w:val="24"/>
          <w:szCs w:val="24"/>
        </w:rPr>
        <w:t>R4-24</w:t>
      </w:r>
      <w:r>
        <w:rPr>
          <w:rFonts w:hint="eastAsia" w:ascii="Arial" w:hAnsi="Arial" w:eastAsia="宋体" w:cs="Arial"/>
          <w:b/>
          <w:sz w:val="24"/>
          <w:szCs w:val="24"/>
          <w:lang w:val="en-US" w:eastAsia="zh-CN"/>
        </w:rPr>
        <w:t>20237</w:t>
      </w:r>
      <w:bookmarkStart w:id="0" w:name="_GoBack"/>
      <w:bookmarkEnd w:id="0"/>
    </w:p>
    <w:p>
      <w:pPr>
        <w:pStyle w:val="35"/>
        <w:tabs>
          <w:tab w:val="right" w:pos="9781"/>
          <w:tab w:val="right" w:pos="13323"/>
        </w:tabs>
        <w:spacing w:before="60" w:after="60"/>
        <w:outlineLvl w:val="0"/>
        <w:rPr>
          <w:rFonts w:eastAsia="宋体" w:cs="Arial"/>
          <w:sz w:val="24"/>
          <w:szCs w:val="24"/>
          <w:highlight w:val="green"/>
          <w:lang w:eastAsia="zh-CN"/>
        </w:rPr>
      </w:pPr>
      <w:r>
        <w:rPr>
          <w:rFonts w:eastAsia="宋体" w:cs="Arial"/>
          <w:sz w:val="24"/>
          <w:szCs w:val="24"/>
          <w:lang w:eastAsia="zh-CN"/>
        </w:rPr>
        <w:t>Orlando, US, 18</w:t>
      </w:r>
      <w:r>
        <w:rPr>
          <w:rFonts w:eastAsia="宋体" w:cs="Arial"/>
          <w:sz w:val="24"/>
          <w:szCs w:val="24"/>
          <w:vertAlign w:val="superscript"/>
          <w:lang w:eastAsia="zh-CN"/>
        </w:rPr>
        <w:t>th</w:t>
      </w:r>
      <w:r>
        <w:rPr>
          <w:rFonts w:eastAsia="宋体" w:cs="Arial"/>
          <w:sz w:val="24"/>
          <w:szCs w:val="24"/>
          <w:lang w:eastAsia="zh-CN"/>
        </w:rPr>
        <w:t xml:space="preserve"> – 22</w:t>
      </w:r>
      <w:r>
        <w:rPr>
          <w:rFonts w:eastAsia="宋体" w:cs="Arial"/>
          <w:sz w:val="24"/>
          <w:szCs w:val="24"/>
          <w:vertAlign w:val="superscript"/>
          <w:lang w:eastAsia="zh-CN"/>
        </w:rPr>
        <w:t>nd</w:t>
      </w:r>
      <w:r>
        <w:rPr>
          <w:rFonts w:eastAsia="宋体" w:cs="Arial"/>
          <w:sz w:val="24"/>
          <w:szCs w:val="24"/>
          <w:lang w:eastAsia="zh-CN"/>
        </w:rPr>
        <w:t xml:space="preserve"> November, 2024</w:t>
      </w:r>
    </w:p>
    <w:p>
      <w:pPr>
        <w:tabs>
          <w:tab w:val="right" w:pos="10440"/>
          <w:tab w:val="right" w:pos="13323"/>
        </w:tabs>
        <w:spacing w:after="240" w:afterLines="100"/>
        <w:rPr>
          <w:rFonts w:ascii="Arial" w:hAnsi="Arial" w:cs="Arial"/>
          <w:b/>
          <w:sz w:val="24"/>
          <w:szCs w:val="24"/>
          <w:lang w:val="en-US" w:eastAsia="zh-CN"/>
        </w:rPr>
      </w:pPr>
    </w:p>
    <w:p>
      <w:pPr>
        <w:tabs>
          <w:tab w:val="left" w:pos="1985"/>
        </w:tabs>
        <w:jc w:val="both"/>
        <w:rPr>
          <w:rFonts w:ascii="Arial" w:hAnsi="Arial" w:cs="Arial"/>
          <w:b/>
          <w:sz w:val="22"/>
          <w:lang w:val="en-US" w:eastAsia="zh-CN"/>
        </w:rPr>
      </w:pPr>
      <w:r>
        <w:rPr>
          <w:rFonts w:ascii="Arial" w:hAnsi="Arial" w:cs="Arial"/>
          <w:b/>
          <w:sz w:val="22"/>
        </w:rPr>
        <w:t xml:space="preserve">Title: </w:t>
      </w:r>
      <w:r>
        <w:rPr>
          <w:rFonts w:ascii="Arial" w:hAnsi="Arial" w:cs="Arial"/>
          <w:b/>
          <w:sz w:val="22"/>
        </w:rPr>
        <w:tab/>
      </w:r>
      <w:r>
        <w:rPr>
          <w:rFonts w:hint="eastAsia" w:ascii="Arial" w:hAnsi="Arial" w:cs="Arial"/>
          <w:sz w:val="22"/>
          <w:lang w:val="en-US" w:eastAsia="zh-CN"/>
        </w:rPr>
        <w:t>WF on RRM requirements for NR_ATG_enh</w:t>
      </w:r>
    </w:p>
    <w:p>
      <w:pPr>
        <w:tabs>
          <w:tab w:val="left" w:pos="1985"/>
        </w:tabs>
        <w:jc w:val="both"/>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sz w:val="22"/>
          <w:lang w:val="en-US" w:eastAsia="zh-CN"/>
        </w:rPr>
        <w:t>7.10.5</w:t>
      </w:r>
    </w:p>
    <w:p>
      <w:pPr>
        <w:tabs>
          <w:tab w:val="left" w:pos="1985"/>
        </w:tabs>
        <w:jc w:val="both"/>
        <w:rPr>
          <w:rFonts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eastAsiaTheme="minorEastAsia"/>
          <w:color w:val="000000"/>
          <w:sz w:val="22"/>
          <w:lang w:val="en-US" w:eastAsia="zh-CN"/>
        </w:rPr>
        <w:t>CMCC</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rFonts w:eastAsia="宋体"/>
          <w:lang w:val="en-US" w:eastAsia="zh-CN"/>
        </w:rPr>
      </w:pPr>
      <w:r>
        <w:t xml:space="preserve">&lt;Topic </w:t>
      </w:r>
      <w:r>
        <w:rPr>
          <w:rFonts w:hint="eastAsia" w:eastAsia="宋体"/>
          <w:lang w:val="en-US" w:eastAsia="zh-CN"/>
        </w:rPr>
        <w:t>1</w:t>
      </w:r>
      <w:r>
        <w:t>&gt;</w:t>
      </w:r>
      <w:r>
        <w:rPr>
          <w:rFonts w:hint="eastAsia" w:eastAsia="宋体"/>
          <w:lang w:val="en-US" w:eastAsia="zh-CN"/>
        </w:rPr>
        <w:t xml:space="preserve"> RRM core requirement</w:t>
      </w:r>
    </w:p>
    <w:p>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1</w:t>
      </w:r>
      <w:r>
        <w:t>&gt;</w:t>
      </w:r>
      <w:r>
        <w:rPr>
          <w:rFonts w:hint="eastAsia" w:eastAsia="宋体"/>
          <w:lang w:val="en-US" w:eastAsia="zh-CN"/>
        </w:rPr>
        <w:t xml:space="preserve"> General</w:t>
      </w:r>
    </w:p>
    <w:p>
      <w:pPr>
        <w:rPr>
          <w:b/>
          <w:sz w:val="21"/>
          <w:szCs w:val="21"/>
          <w:u w:val="single"/>
          <w:lang w:val="en-US" w:eastAsia="zh-CN"/>
        </w:rPr>
      </w:pPr>
      <w:r>
        <w:rPr>
          <w:rFonts w:hint="eastAsia"/>
          <w:b/>
          <w:sz w:val="21"/>
          <w:szCs w:val="21"/>
          <w:u w:val="single"/>
          <w:lang w:val="en-US" w:eastAsia="zh-CN"/>
        </w:rPr>
        <w:t>Issue 1-1-1: UE antenna type for inter-band CA</w:t>
      </w:r>
    </w:p>
    <w:p>
      <w:pPr>
        <w:snapToGrid w:val="0"/>
        <w:spacing w:after="120"/>
        <w:rPr>
          <w:rFonts w:eastAsia="等线"/>
          <w:sz w:val="21"/>
          <w:szCs w:val="21"/>
          <w:lang w:val="en-US" w:eastAsia="zh-CN"/>
        </w:rPr>
      </w:pPr>
      <w:r>
        <w:rPr>
          <w:rFonts w:hint="eastAsia" w:eastAsia="等线"/>
          <w:sz w:val="21"/>
          <w:szCs w:val="21"/>
          <w:highlight w:val="yellow"/>
          <w:lang w:val="en-US" w:eastAsia="zh-CN"/>
        </w:rPr>
        <w:t>FFS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 xml:space="preserve">Proposal </w:t>
      </w:r>
      <w:r>
        <w:rPr>
          <w:rFonts w:eastAsia="宋体"/>
          <w:sz w:val="21"/>
          <w:szCs w:val="21"/>
          <w:lang w:val="en-US" w:eastAsia="zh-CN"/>
        </w:rPr>
        <w:t xml:space="preserve">1: </w:t>
      </w:r>
      <w:r>
        <w:rPr>
          <w:rFonts w:hint="eastAsia" w:eastAsia="宋体"/>
          <w:sz w:val="21"/>
          <w:szCs w:val="21"/>
          <w:lang w:val="en-US" w:eastAsia="zh-CN"/>
        </w:rPr>
        <w:t>To support Case 4 antenna type, MRTD, reception power difference for two bands, and DL frequency separation should be restricted to avoid critical receving performance degradataion, e.g., conditions for intra-band NCCA operation</w:t>
      </w:r>
      <w:r>
        <w:rPr>
          <w:rFonts w:eastAsia="宋体"/>
          <w:sz w:val="21"/>
          <w:szCs w:val="21"/>
          <w:lang w:val="en-US" w:eastAsia="zh-CN"/>
        </w:rPr>
        <w:t>.</w:t>
      </w:r>
    </w:p>
    <w:p>
      <w:pPr>
        <w:numPr>
          <w:ilvl w:val="0"/>
          <w:numId w:val="1"/>
        </w:numPr>
        <w:spacing w:after="0"/>
        <w:ind w:left="600"/>
        <w:rPr>
          <w:rFonts w:eastAsia="宋体"/>
          <w:sz w:val="21"/>
          <w:szCs w:val="21"/>
          <w:lang w:val="en-US" w:eastAsia="zh-CN"/>
        </w:rPr>
      </w:pPr>
      <w:r>
        <w:rPr>
          <w:rFonts w:hint="eastAsia" w:eastAsia="宋体" w:cs="Times New Roman"/>
          <w:sz w:val="21"/>
          <w:szCs w:val="21"/>
          <w:lang w:val="en-US" w:eastAsia="zh-CN"/>
        </w:rPr>
        <w:t xml:space="preserve">Proposal </w:t>
      </w:r>
      <w:r>
        <w:rPr>
          <w:rFonts w:hint="eastAsia" w:ascii="Times New Roman" w:hAnsi="Times New Roman" w:eastAsia="宋体" w:cs="Times New Roman"/>
          <w:sz w:val="21"/>
          <w:szCs w:val="21"/>
          <w:lang w:val="en-US" w:eastAsia="zh-CN"/>
        </w:rPr>
        <w:t xml:space="preserve">2: </w:t>
      </w:r>
      <w:r>
        <w:rPr>
          <w:rFonts w:hint="eastAsia" w:ascii="Times New Roman" w:hAnsi="Times New Roman" w:eastAsia="宋体" w:cs="Times New Roman"/>
          <w:b w:val="0"/>
          <w:bCs w:val="0"/>
          <w:sz w:val="21"/>
          <w:szCs w:val="21"/>
          <w:lang w:val="en-US" w:eastAsia="zh-CN"/>
        </w:rPr>
        <w:t>Confirm the understanding #2: Case 4 is not explicitly discussed in RF session, since no case 4 specific RF requirement. Case 4 UE implementation is possible.</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Proposal 3: Wait for more progress from RF session.</w:t>
      </w:r>
    </w:p>
    <w:p>
      <w:pPr>
        <w:numPr>
          <w:ilvl w:val="1"/>
          <w:numId w:val="1"/>
        </w:numPr>
        <w:spacing w:after="120"/>
        <w:rPr>
          <w:rFonts w:eastAsia="宋体"/>
          <w:sz w:val="21"/>
          <w:szCs w:val="21"/>
          <w:lang w:val="en-US" w:eastAsia="zh-CN"/>
        </w:rPr>
      </w:pPr>
      <w:r>
        <w:rPr>
          <w:rFonts w:hint="default" w:eastAsia="宋体"/>
          <w:sz w:val="21"/>
          <w:szCs w:val="21"/>
          <w:lang w:val="en-US" w:eastAsia="zh-CN"/>
        </w:rPr>
        <w:t xml:space="preserve">Proposal </w:t>
      </w:r>
      <w:r>
        <w:rPr>
          <w:rFonts w:hint="eastAsia" w:eastAsia="宋体"/>
          <w:sz w:val="21"/>
          <w:szCs w:val="21"/>
          <w:lang w:val="en-US" w:eastAsia="zh-CN"/>
        </w:rPr>
        <w:t xml:space="preserve">3-1: If the implementation of Case 4 is not excluded in RF session, RRM requirement and related UE capability should be defined, details can be discussed later. </w:t>
      </w:r>
    </w:p>
    <w:p>
      <w:pPr>
        <w:snapToGrid w:val="0"/>
        <w:spacing w:after="120"/>
        <w:rPr>
          <w:b/>
          <w:sz w:val="21"/>
          <w:szCs w:val="21"/>
          <w:u w:val="single"/>
          <w:lang w:val="en-US" w:eastAsia="zh-CN"/>
        </w:rPr>
      </w:pPr>
    </w:p>
    <w:p>
      <w:pPr>
        <w:rPr>
          <w:b/>
          <w:sz w:val="21"/>
          <w:szCs w:val="21"/>
          <w:u w:val="single"/>
          <w:lang w:val="en-US" w:eastAsia="zh-CN"/>
        </w:rPr>
      </w:pPr>
    </w:p>
    <w:p>
      <w:pPr>
        <w:rPr>
          <w:b/>
          <w:sz w:val="21"/>
          <w:szCs w:val="21"/>
          <w:u w:val="single"/>
          <w:lang w:val="en-US" w:eastAsia="zh-CN"/>
        </w:rPr>
      </w:pPr>
      <w:r>
        <w:rPr>
          <w:rFonts w:hint="eastAsia"/>
          <w:b/>
          <w:sz w:val="21"/>
          <w:szCs w:val="21"/>
          <w:u w:val="single"/>
          <w:lang w:val="en-US" w:eastAsia="zh-CN"/>
        </w:rPr>
        <w:t>Issue 1-1-2: UE Antenna Type signaling</w:t>
      </w:r>
    </w:p>
    <w:p>
      <w:pPr>
        <w:snapToGrid w:val="0"/>
        <w:spacing w:after="120"/>
        <w:rPr>
          <w:rFonts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Proposal</w:t>
      </w:r>
      <w:r>
        <w:rPr>
          <w:rFonts w:eastAsia="宋体"/>
          <w:sz w:val="21"/>
          <w:szCs w:val="21"/>
          <w:lang w:val="en-US" w:eastAsia="zh-CN"/>
        </w:rPr>
        <w:t xml:space="preserve"> 1: If ATG UE can perform measurements on different serving cells using different types of antennas, it is necessary to provide assistance information to the network regarding which antenna panel combination is used on the UE side.</w:t>
      </w:r>
    </w:p>
    <w:p>
      <w:pPr>
        <w:numPr>
          <w:ilvl w:val="0"/>
          <w:numId w:val="1"/>
        </w:numPr>
        <w:ind w:left="600"/>
        <w:rPr>
          <w:rFonts w:ascii="Times New Roman" w:hAnsi="Times New Roman" w:eastAsia="宋体" w:cs="Times New Roman"/>
          <w:sz w:val="21"/>
          <w:szCs w:val="21"/>
          <w:lang w:val="en-US" w:eastAsia="zh-CN"/>
        </w:rPr>
      </w:pPr>
      <w:r>
        <w:rPr>
          <w:rFonts w:hint="eastAsia" w:eastAsia="宋体"/>
          <w:sz w:val="21"/>
          <w:szCs w:val="21"/>
          <w:lang w:val="en-US" w:eastAsia="zh-CN"/>
        </w:rPr>
        <w:t>Proposal</w:t>
      </w:r>
      <w:r>
        <w:rPr>
          <w:rFonts w:hint="default" w:ascii="Times New Roman" w:hAnsi="Times New Roman" w:eastAsia="宋体" w:cs="Times New Roman"/>
          <w:sz w:val="21"/>
          <w:szCs w:val="21"/>
          <w:lang w:val="en-US" w:eastAsia="zh-CN"/>
        </w:rPr>
        <w:t xml:space="preserve"> 2: To differentiate Case 4 and Case 5, an additional UE capability to indicate common or separate Rx beam is needed with per BC type for the bands in which UE supporting phase antenna array.</w:t>
      </w:r>
    </w:p>
    <w:p>
      <w:pPr>
        <w:numPr>
          <w:ilvl w:val="-1"/>
          <w:numId w:val="0"/>
        </w:numPr>
        <w:spacing w:after="120"/>
        <w:ind w:left="240" w:firstLine="0"/>
        <w:rPr>
          <w:rFonts w:eastAsia="宋体"/>
          <w:sz w:val="21"/>
          <w:szCs w:val="21"/>
          <w:lang w:val="en-US" w:eastAsia="zh-CN"/>
        </w:rPr>
      </w:pPr>
    </w:p>
    <w:p>
      <w:pPr>
        <w:snapToGrid w:val="0"/>
        <w:spacing w:after="120"/>
        <w:rPr>
          <w:rFonts w:eastAsia="等线"/>
          <w:sz w:val="21"/>
          <w:szCs w:val="21"/>
          <w:highlight w:val="yellow"/>
          <w:lang w:val="en-US" w:eastAsia="zh-CN"/>
        </w:rPr>
      </w:pPr>
    </w:p>
    <w:p>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2</w:t>
      </w:r>
      <w:r>
        <w:t>&gt;</w:t>
      </w:r>
      <w:r>
        <w:rPr>
          <w:rFonts w:hint="eastAsia" w:eastAsia="宋体"/>
          <w:lang w:val="en-US" w:eastAsia="zh-CN"/>
        </w:rPr>
        <w:t xml:space="preserve"> Timing</w:t>
      </w:r>
    </w:p>
    <w:p>
      <w:pPr>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2-1</w:t>
      </w:r>
      <w:r>
        <w:rPr>
          <w:rFonts w:hint="eastAsia"/>
          <w:b/>
          <w:sz w:val="21"/>
          <w:szCs w:val="21"/>
          <w:u w:val="single"/>
          <w:lang w:eastAsia="ko-KR"/>
        </w:rPr>
        <w:t xml:space="preserve">: </w:t>
      </w:r>
      <w:r>
        <w:rPr>
          <w:rFonts w:hint="eastAsia"/>
          <w:b/>
          <w:sz w:val="21"/>
          <w:szCs w:val="21"/>
          <w:u w:val="single"/>
          <w:lang w:val="en-US" w:eastAsia="zh-CN"/>
        </w:rPr>
        <w:t>MRTD</w:t>
      </w:r>
      <w:r>
        <w:rPr>
          <w:b/>
          <w:sz w:val="21"/>
          <w:szCs w:val="21"/>
          <w:u w:val="single"/>
          <w:lang w:val="en-US" w:eastAsia="zh-CN"/>
        </w:rPr>
        <w:t xml:space="preserve"> for ATG inter-band CA</w:t>
      </w:r>
    </w:p>
    <w:p>
      <w:pPr>
        <w:snapToGrid w:val="0"/>
        <w:spacing w:after="120"/>
        <w:rPr>
          <w:rFonts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 xml:space="preserve">Option 1: </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For the MRTD except Case#4: 33µs. Further discuss for case 4.</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Option 2:</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 xml:space="preserve">For the MRTD except Case#4: 33µs. </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If case 4 is not excluded based on RF discussion: 3µs.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Option 3:</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 xml:space="preserve">For the MRTD for all cases: 33µs. </w:t>
      </w:r>
    </w:p>
    <w:p>
      <w:pPr>
        <w:snapToGrid w:val="0"/>
        <w:spacing w:after="120"/>
        <w:rPr>
          <w:rFonts w:eastAsia="等线"/>
          <w:sz w:val="21"/>
          <w:szCs w:val="21"/>
          <w:highlight w:val="yellow"/>
          <w:lang w:val="en-US" w:eastAsia="zh-CN"/>
        </w:rPr>
      </w:pPr>
    </w:p>
    <w:p>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3</w:t>
      </w:r>
      <w:r>
        <w:t>&gt;</w:t>
      </w:r>
      <w:r>
        <w:rPr>
          <w:rFonts w:hint="eastAsia" w:eastAsia="宋体"/>
          <w:lang w:val="en-US" w:eastAsia="zh-CN"/>
        </w:rPr>
        <w:t xml:space="preserve"> Signalling characteristics</w:t>
      </w:r>
    </w:p>
    <w:p>
      <w:pPr>
        <w:rPr>
          <w:b/>
          <w:sz w:val="21"/>
          <w:szCs w:val="21"/>
          <w:u w:val="single"/>
          <w:lang w:eastAsia="ko-KR"/>
        </w:rPr>
      </w:pPr>
      <w:r>
        <w:rPr>
          <w:rFonts w:hint="eastAsia"/>
          <w:b/>
          <w:sz w:val="21"/>
          <w:szCs w:val="21"/>
          <w:u w:val="single"/>
          <w:lang w:eastAsia="ko-KR"/>
        </w:rPr>
        <w:t>Issue 1-3-1: Interruption requirements</w:t>
      </w:r>
    </w:p>
    <w:p>
      <w:pPr>
        <w:snapToGrid w:val="0"/>
        <w:rPr>
          <w:sz w:val="21"/>
          <w:szCs w:val="21"/>
          <w:highlight w:val="green"/>
          <w:lang w:eastAsia="zh-CN"/>
        </w:rPr>
      </w:pPr>
      <w:r>
        <w:rPr>
          <w:rFonts w:hint="eastAsia"/>
          <w:sz w:val="21"/>
          <w:szCs w:val="21"/>
          <w:highlight w:val="green"/>
          <w:lang w:eastAsia="zh-CN"/>
        </w:rPr>
        <w:t>Agreement:</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Introduce following requirements for R19 ATG</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at SCell addition/release</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 xml:space="preserve">Interruptions at SCell activation/deactivation </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at direct SCell activation</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at fast SCell activation</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during measurements on deactivated SCC</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due to SCell dormancy</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due to UE-specific CBW change</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due to Active BWP switching Requirement</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when identifying CGI of an NR cell with autonomous gaps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Not introduce following requirements for R19 ATG</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 xml:space="preserve">Interruptions at UL carrier RRC reconfiguration </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at inter-frequency SFTD measurement</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at NR SRS carrier based switching</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due to PUCCH SCell activation/deactivation</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due to measurements without gap carried out by UE supporting [NeedForInterruptionInfoNR-R18]</w:t>
      </w:r>
    </w:p>
    <w:p>
      <w:pPr>
        <w:numPr>
          <w:ilvl w:val="0"/>
          <w:numId w:val="1"/>
        </w:numPr>
        <w:spacing w:after="120"/>
        <w:ind w:left="600"/>
        <w:rPr>
          <w:rFonts w:eastAsia="宋体"/>
          <w:sz w:val="21"/>
          <w:szCs w:val="21"/>
          <w:lang w:val="en-US" w:eastAsia="zh-CN"/>
        </w:rPr>
      </w:pPr>
      <w:r>
        <w:rPr>
          <w:rFonts w:hint="eastAsia" w:eastAsia="宋体"/>
          <w:sz w:val="21"/>
          <w:szCs w:val="21"/>
          <w:highlight w:val="yellow"/>
          <w:lang w:val="en-US" w:eastAsia="zh-CN"/>
        </w:rPr>
        <w:t>FFS</w:t>
      </w:r>
      <w:r>
        <w:rPr>
          <w:rFonts w:hint="eastAsia" w:eastAsia="宋体"/>
          <w:sz w:val="21"/>
          <w:szCs w:val="21"/>
          <w:lang w:val="en-US" w:eastAsia="zh-CN"/>
        </w:rPr>
        <w:t xml:space="preserve"> whether following requirements need to be introduced</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Interruptions at NR SRS antenna port switching</w:t>
      </w:r>
    </w:p>
    <w:p>
      <w:pPr>
        <w:numPr>
          <w:ilvl w:val="0"/>
          <w:numId w:val="1"/>
        </w:numPr>
        <w:spacing w:after="120"/>
        <w:ind w:left="600"/>
        <w:rPr>
          <w:rFonts w:eastAsia="宋体"/>
          <w:sz w:val="21"/>
          <w:szCs w:val="21"/>
          <w:lang w:val="en-US" w:eastAsia="zh-CN"/>
        </w:rPr>
      </w:pPr>
      <w:r>
        <w:rPr>
          <w:rFonts w:hint="eastAsia" w:eastAsia="宋体"/>
          <w:sz w:val="21"/>
          <w:szCs w:val="21"/>
          <w:highlight w:val="yellow"/>
          <w:lang w:val="en-US" w:eastAsia="zh-CN"/>
        </w:rPr>
        <w:t>Further discuss</w:t>
      </w:r>
      <w:r>
        <w:rPr>
          <w:rFonts w:hint="eastAsia" w:eastAsia="宋体"/>
          <w:sz w:val="21"/>
          <w:szCs w:val="21"/>
          <w:lang w:val="en-US" w:eastAsia="zh-CN"/>
        </w:rPr>
        <w:t xml:space="preserve"> the potential impact from UE antenna types</w:t>
      </w:r>
    </w:p>
    <w:p>
      <w:pPr>
        <w:numPr>
          <w:ilvl w:val="0"/>
          <w:numId w:val="1"/>
        </w:numPr>
        <w:spacing w:after="120"/>
        <w:ind w:left="600"/>
        <w:rPr>
          <w:rFonts w:eastAsia="宋体"/>
          <w:sz w:val="21"/>
          <w:szCs w:val="21"/>
          <w:lang w:val="en-US" w:eastAsia="zh-CN"/>
        </w:rPr>
      </w:pPr>
      <w:r>
        <w:rPr>
          <w:rFonts w:hint="eastAsia" w:eastAsia="宋体"/>
          <w:sz w:val="21"/>
          <w:szCs w:val="21"/>
          <w:highlight w:val="yellow"/>
          <w:lang w:val="en-US" w:eastAsia="zh-CN"/>
        </w:rPr>
        <w:t>Further discuss</w:t>
      </w:r>
      <w:r>
        <w:rPr>
          <w:rFonts w:hint="eastAsia" w:eastAsia="宋体"/>
          <w:sz w:val="21"/>
          <w:szCs w:val="21"/>
          <w:lang w:val="en-US" w:eastAsia="zh-CN"/>
        </w:rPr>
        <w:t xml:space="preserve"> how to reflect the interruption requirement for R19 ATG</w:t>
      </w:r>
    </w:p>
    <w:p>
      <w:pPr>
        <w:rPr>
          <w:b/>
          <w:sz w:val="21"/>
          <w:szCs w:val="21"/>
          <w:u w:val="single"/>
          <w:lang w:eastAsia="ko-KR"/>
        </w:rPr>
      </w:pPr>
    </w:p>
    <w:p>
      <w:pPr>
        <w:rPr>
          <w:b/>
          <w:sz w:val="21"/>
          <w:szCs w:val="21"/>
          <w:u w:val="single"/>
          <w:lang w:val="en-US" w:eastAsia="zh-CN"/>
        </w:rPr>
      </w:pPr>
      <w:r>
        <w:rPr>
          <w:rFonts w:hint="eastAsia"/>
          <w:b/>
          <w:sz w:val="21"/>
          <w:szCs w:val="21"/>
          <w:u w:val="single"/>
          <w:lang w:val="en-US" w:eastAsia="zh-CN"/>
        </w:rPr>
        <w:t>Issue 1-3-2: SCell Activation and Deactivation Delay</w:t>
      </w:r>
    </w:p>
    <w:p>
      <w:pPr>
        <w:rPr>
          <w:rFonts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 xml:space="preserve">Proposal 1: The SCell activation delay requirements will not be impacted by ATG UE antenna type. </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 xml:space="preserve">Proposal 2: Inter-band SSB-less SCell activation requirements can apply to omnidirectional antenna type. </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Proposal 3: SCell activation requirements shall be further investigated for potential impact, considering the UE antenna types</w:t>
      </w:r>
      <w:r>
        <w:rPr>
          <w:rFonts w:eastAsia="宋体"/>
          <w:sz w:val="21"/>
          <w:szCs w:val="21"/>
          <w:lang w:val="en-US" w:eastAsia="zh-CN"/>
        </w:rPr>
        <w:t>.</w:t>
      </w:r>
    </w:p>
    <w:p>
      <w:pPr>
        <w:rPr>
          <w:rFonts w:eastAsia="等线"/>
          <w:sz w:val="21"/>
          <w:szCs w:val="21"/>
          <w:highlight w:val="yellow"/>
          <w:lang w:val="en-US" w:eastAsia="zh-CN"/>
        </w:rPr>
      </w:pPr>
    </w:p>
    <w:p>
      <w:pPr>
        <w:rPr>
          <w:b/>
          <w:sz w:val="21"/>
          <w:szCs w:val="21"/>
          <w:u w:val="single"/>
          <w:lang w:val="en-US" w:eastAsia="zh-CN"/>
        </w:rPr>
      </w:pPr>
      <w:r>
        <w:rPr>
          <w:rFonts w:hint="eastAsia"/>
          <w:b/>
          <w:sz w:val="21"/>
          <w:szCs w:val="21"/>
          <w:u w:val="single"/>
          <w:lang w:val="en-US" w:eastAsia="zh-CN"/>
        </w:rPr>
        <w:t>Issue 1-3-3: SCell Addition/Activation mechanism</w:t>
      </w:r>
    </w:p>
    <w:p>
      <w:pPr>
        <w:rPr>
          <w:rFonts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Proposal</w:t>
      </w:r>
      <w:r>
        <w:rPr>
          <w:rFonts w:eastAsia="宋体"/>
          <w:sz w:val="21"/>
          <w:szCs w:val="21"/>
          <w:lang w:val="en-US" w:eastAsia="zh-CN"/>
        </w:rPr>
        <w:t xml:space="preserve"> 1: Define the corresponding enhanced requirements with some conditions, where the measurements of SCell addition and scheduling restrictions on neighbor cell measurements on candidate SCC can be omitted, and it depends on UE to apply these requirements.</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Proposal</w:t>
      </w:r>
      <w:r>
        <w:rPr>
          <w:rFonts w:eastAsia="宋体"/>
          <w:sz w:val="21"/>
          <w:szCs w:val="21"/>
          <w:lang w:val="en-US" w:eastAsia="zh-CN"/>
        </w:rPr>
        <w:t xml:space="preserve"> 2: Further consider distance triggered SCell addition and/or activation, which can be achieved through network configuration of SCell addition and/or activation condition </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Proposal</w:t>
      </w:r>
      <w:r>
        <w:rPr>
          <w:rFonts w:eastAsia="宋体"/>
          <w:sz w:val="21"/>
          <w:szCs w:val="21"/>
          <w:lang w:val="en-US" w:eastAsia="zh-CN"/>
        </w:rPr>
        <w:t xml:space="preserve"> 3: Should not consider distance triggered SCell addition and/or activation; existing activation methods are sufficient </w:t>
      </w:r>
    </w:p>
    <w:p>
      <w:pPr>
        <w:rPr>
          <w:rFonts w:eastAsia="等线"/>
          <w:sz w:val="21"/>
          <w:szCs w:val="21"/>
          <w:highlight w:val="yellow"/>
          <w:lang w:val="en-US" w:eastAsia="zh-CN"/>
        </w:rPr>
      </w:pPr>
    </w:p>
    <w:p>
      <w:pPr>
        <w:rPr>
          <w:b/>
          <w:sz w:val="21"/>
          <w:szCs w:val="21"/>
          <w:u w:val="single"/>
          <w:lang w:val="en-US" w:eastAsia="zh-CN"/>
        </w:rPr>
      </w:pPr>
      <w:r>
        <w:rPr>
          <w:rFonts w:hint="eastAsia"/>
          <w:b/>
          <w:sz w:val="21"/>
          <w:szCs w:val="21"/>
          <w:u w:val="single"/>
          <w:lang w:val="en-US" w:eastAsia="zh-CN"/>
        </w:rPr>
        <w:t>Issue 1-3-4: Active BWP switch delay on multiple CCs</w:t>
      </w:r>
    </w:p>
    <w:p>
      <w:pPr>
        <w:snapToGrid w:val="0"/>
        <w:rPr>
          <w:sz w:val="21"/>
          <w:szCs w:val="21"/>
          <w:highlight w:val="green"/>
          <w:lang w:val="en-US" w:eastAsia="zh-CN"/>
        </w:rPr>
      </w:pPr>
      <w:r>
        <w:rPr>
          <w:rFonts w:hint="eastAsia"/>
          <w:sz w:val="21"/>
          <w:szCs w:val="21"/>
          <w:highlight w:val="green"/>
          <w:lang w:val="en-US" w:eastAsia="zh-CN"/>
        </w:rPr>
        <w:t>Agreement:</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Introduce following requirements and the legacy can be reused as baseline</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Simultaneous DCI based BWP switch delay on multiple CCs</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Simultaneous RRC based BWP switch delay on multiple CCs</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Simultaneous Timer based BWP switch delay on multiple CCs</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non-simultaneous Timer based BWP switch delay on multiple CCs</w:t>
      </w:r>
    </w:p>
    <w:p>
      <w:pPr>
        <w:rPr>
          <w:rFonts w:eastAsia="等线"/>
          <w:sz w:val="21"/>
          <w:szCs w:val="21"/>
          <w:highlight w:val="yellow"/>
          <w:lang w:val="en-US" w:eastAsia="zh-CN"/>
        </w:rPr>
      </w:pPr>
    </w:p>
    <w:p>
      <w:pPr>
        <w:rPr>
          <w:b/>
          <w:sz w:val="21"/>
          <w:szCs w:val="21"/>
          <w:u w:val="single"/>
          <w:lang w:val="en-US" w:eastAsia="zh-CN"/>
        </w:rPr>
      </w:pPr>
      <w:r>
        <w:rPr>
          <w:rFonts w:hint="eastAsia"/>
          <w:b/>
          <w:sz w:val="21"/>
          <w:szCs w:val="21"/>
          <w:u w:val="single"/>
          <w:lang w:val="en-US" w:eastAsia="zh-CN"/>
        </w:rPr>
        <w:t>Issue 1-3-5: Pre-configured measurement gap activation/deactivation delay upon SCell activation/deactivation</w:t>
      </w:r>
    </w:p>
    <w:p>
      <w:pPr>
        <w:snapToGrid w:val="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 xml:space="preserve">Introduce Pre-configured measurement gap activation/deactivation delay requirement upon SCell activation/deactivation, the legacy requirement can be reused. </w:t>
      </w:r>
    </w:p>
    <w:p>
      <w:pPr>
        <w:rPr>
          <w:lang w:val="en-US" w:eastAsia="zh-CN"/>
        </w:rPr>
      </w:pPr>
    </w:p>
    <w:p>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4</w:t>
      </w:r>
      <w:r>
        <w:t>&gt;</w:t>
      </w:r>
      <w:r>
        <w:rPr>
          <w:rFonts w:hint="eastAsia" w:eastAsia="宋体"/>
          <w:lang w:val="en-US" w:eastAsia="zh-CN"/>
        </w:rPr>
        <w:t xml:space="preserve"> Measurement procedure</w:t>
      </w:r>
    </w:p>
    <w:p>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4-1</w:t>
      </w:r>
      <w:r>
        <w:rPr>
          <w:rFonts w:hint="eastAsia"/>
          <w:b/>
          <w:sz w:val="21"/>
          <w:szCs w:val="21"/>
          <w:u w:val="single"/>
          <w:lang w:val="en-US" w:eastAsia="ko-KR"/>
        </w:rPr>
        <w:t xml:space="preserve">: </w:t>
      </w:r>
      <w:r>
        <w:rPr>
          <w:rFonts w:hint="eastAsia"/>
          <w:b/>
          <w:sz w:val="21"/>
          <w:szCs w:val="21"/>
          <w:u w:val="single"/>
          <w:lang w:val="en-US" w:eastAsia="zh-CN"/>
        </w:rPr>
        <w:t>Capabilities for Support of Event Triggering and Reporting Criteria</w:t>
      </w:r>
    </w:p>
    <w:p>
      <w:pPr>
        <w:snapToGrid w:val="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 xml:space="preserve">For capabilities for Support of Event Triggering and Reporting Criteria, configured NR serving frequencies will include PCell and SCells carrier frequencies in the total number of NR reporting criteria for intra-frequency category. </w:t>
      </w:r>
    </w:p>
    <w:p>
      <w:pPr>
        <w:rPr>
          <w:b/>
          <w:sz w:val="21"/>
          <w:szCs w:val="21"/>
          <w:u w:val="single"/>
          <w:lang w:val="en-US" w:eastAsia="ko-KR"/>
        </w:rPr>
      </w:pPr>
    </w:p>
    <w:p>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4-2</w:t>
      </w:r>
      <w:r>
        <w:rPr>
          <w:rFonts w:hint="eastAsia"/>
          <w:b/>
          <w:sz w:val="21"/>
          <w:szCs w:val="21"/>
          <w:u w:val="single"/>
          <w:lang w:val="en-US" w:eastAsia="ko-KR"/>
        </w:rPr>
        <w:t xml:space="preserve">: </w:t>
      </w:r>
      <w:r>
        <w:rPr>
          <w:rFonts w:hint="eastAsia"/>
          <w:b/>
          <w:sz w:val="21"/>
          <w:szCs w:val="21"/>
          <w:u w:val="single"/>
          <w:lang w:val="en-US" w:eastAsia="zh-CN"/>
        </w:rPr>
        <w:t>Pre-configured measurement gap requirement</w:t>
      </w:r>
    </w:p>
    <w:p>
      <w:pPr>
        <w:snapToGrid w:val="0"/>
        <w:rPr>
          <w:sz w:val="21"/>
          <w:szCs w:val="21"/>
          <w:highlight w:val="green"/>
          <w:lang w:eastAsia="zh-CN"/>
        </w:rPr>
      </w:pPr>
      <w:r>
        <w:rPr>
          <w:sz w:val="21"/>
          <w:szCs w:val="21"/>
          <w:highlight w:val="green"/>
          <w:lang w:eastAsia="zh-CN"/>
        </w:rPr>
        <w:t>Agreement:</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SCell related triggering conditions should be considered for network-controlled and autonomous activation/deactivation mechanism of pre-configured measurement gap, and the legacy requirement can be reused.</w:t>
      </w:r>
    </w:p>
    <w:p>
      <w:pPr>
        <w:rPr>
          <w:b/>
          <w:sz w:val="21"/>
          <w:szCs w:val="21"/>
          <w:u w:val="single"/>
          <w:lang w:val="en-US" w:eastAsia="ko-KR"/>
        </w:rPr>
      </w:pPr>
    </w:p>
    <w:p>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4-3</w:t>
      </w:r>
      <w:r>
        <w:rPr>
          <w:rFonts w:hint="eastAsia"/>
          <w:b/>
          <w:sz w:val="21"/>
          <w:szCs w:val="21"/>
          <w:u w:val="single"/>
          <w:lang w:val="en-US" w:eastAsia="ko-KR"/>
        </w:rPr>
        <w:t xml:space="preserve">: </w:t>
      </w:r>
      <w:r>
        <w:rPr>
          <w:rFonts w:hint="eastAsia"/>
          <w:b/>
          <w:sz w:val="21"/>
          <w:szCs w:val="21"/>
          <w:u w:val="single"/>
          <w:lang w:val="en-US" w:eastAsia="zh-CN"/>
        </w:rPr>
        <w:t>SCell activation triggered measurement reporting requirement</w:t>
      </w:r>
    </w:p>
    <w:p>
      <w:pPr>
        <w:snapToGrid w:val="0"/>
        <w:rPr>
          <w:sz w:val="21"/>
          <w:szCs w:val="21"/>
          <w:highlight w:val="green"/>
          <w:lang w:eastAsia="zh-CN"/>
        </w:rPr>
      </w:pPr>
      <w:r>
        <w:rPr>
          <w:sz w:val="21"/>
          <w:szCs w:val="21"/>
          <w:highlight w:val="green"/>
          <w:lang w:eastAsia="zh-CN"/>
        </w:rPr>
        <w:t>Agreement:</w:t>
      </w:r>
    </w:p>
    <w:p>
      <w:pPr>
        <w:numPr>
          <w:ilvl w:val="0"/>
          <w:numId w:val="1"/>
        </w:numPr>
        <w:spacing w:after="120"/>
        <w:ind w:left="600"/>
        <w:rPr>
          <w:rFonts w:eastAsia="宋体"/>
          <w:sz w:val="21"/>
          <w:szCs w:val="21"/>
          <w:lang w:val="en-US" w:eastAsia="ko-KR"/>
        </w:rPr>
      </w:pPr>
      <w:r>
        <w:rPr>
          <w:rFonts w:hint="eastAsia" w:eastAsia="宋体"/>
          <w:sz w:val="21"/>
          <w:szCs w:val="21"/>
          <w:lang w:val="en-US" w:eastAsia="zh-CN"/>
        </w:rPr>
        <w:t xml:space="preserve">The measurement reporting requirement for SCell activation Triggered Reporting shall be introduced and the legacy requirements can be reused. </w:t>
      </w:r>
    </w:p>
    <w:p>
      <w:pPr>
        <w:tabs>
          <w:tab w:val="left" w:pos="-420"/>
        </w:tabs>
        <w:spacing w:after="120"/>
        <w:rPr>
          <w:rFonts w:eastAsia="宋体"/>
          <w:sz w:val="21"/>
          <w:szCs w:val="21"/>
          <w:lang w:val="en-US" w:eastAsia="zh-CN"/>
        </w:rPr>
      </w:pPr>
    </w:p>
    <w:p>
      <w:pPr>
        <w:rPr>
          <w:b/>
          <w:sz w:val="21"/>
          <w:szCs w:val="21"/>
          <w:u w:val="single"/>
          <w:lang w:val="en-US" w:eastAsia="zh-CN"/>
        </w:rPr>
      </w:pPr>
      <w:r>
        <w:rPr>
          <w:rFonts w:hint="eastAsia"/>
          <w:b/>
          <w:sz w:val="21"/>
          <w:szCs w:val="21"/>
          <w:u w:val="single"/>
          <w:lang w:val="en-US" w:eastAsia="zh-CN"/>
        </w:rPr>
        <w:t>Issue 1-4-4: Deactivated SCell measurement</w:t>
      </w:r>
    </w:p>
    <w:p>
      <w:pPr>
        <w:snapToGrid w:val="0"/>
        <w:rPr>
          <w:sz w:val="21"/>
          <w:szCs w:val="21"/>
          <w:highlight w:val="green"/>
          <w:lang w:eastAsia="zh-CN"/>
        </w:rPr>
      </w:pPr>
      <w:r>
        <w:rPr>
          <w:sz w:val="21"/>
          <w:szCs w:val="21"/>
          <w:highlight w:val="green"/>
          <w:lang w:eastAsia="zh-CN"/>
        </w:rPr>
        <w:t>Agreement:</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beam sweeping factor N1 is needed.</w:t>
      </w:r>
    </w:p>
    <w:p>
      <w:pPr>
        <w:numPr>
          <w:ilvl w:val="0"/>
          <w:numId w:val="1"/>
        </w:numPr>
        <w:spacing w:after="120"/>
        <w:ind w:left="600"/>
        <w:rPr>
          <w:rFonts w:eastAsia="宋体"/>
          <w:sz w:val="21"/>
          <w:szCs w:val="21"/>
          <w:lang w:val="en-US" w:eastAsia="ko-KR"/>
        </w:rPr>
      </w:pPr>
      <w:r>
        <w:rPr>
          <w:rFonts w:hint="eastAsia" w:eastAsia="宋体"/>
          <w:sz w:val="21"/>
          <w:szCs w:val="21"/>
          <w:highlight w:val="yellow"/>
          <w:lang w:val="en-US" w:eastAsia="zh-CN"/>
        </w:rPr>
        <w:t>FFS</w:t>
      </w:r>
      <w:r>
        <w:rPr>
          <w:rFonts w:hint="eastAsia" w:eastAsia="宋体"/>
          <w:sz w:val="21"/>
          <w:szCs w:val="21"/>
          <w:lang w:val="en-US" w:eastAsia="zh-CN"/>
        </w:rPr>
        <w:t xml:space="preserve"> on L3/L1 measurement sharing factor</w:t>
      </w:r>
    </w:p>
    <w:p>
      <w:pPr>
        <w:tabs>
          <w:tab w:val="left" w:pos="-420"/>
        </w:tabs>
        <w:spacing w:after="120"/>
        <w:rPr>
          <w:rFonts w:eastAsia="宋体"/>
          <w:sz w:val="21"/>
          <w:szCs w:val="21"/>
          <w:lang w:val="en-US" w:eastAsia="zh-CN"/>
        </w:rPr>
      </w:pPr>
    </w:p>
    <w:p>
      <w:pPr>
        <w:rPr>
          <w:b/>
          <w:sz w:val="21"/>
          <w:szCs w:val="21"/>
          <w:u w:val="single"/>
          <w:lang w:val="en-US" w:eastAsia="ko-KR"/>
        </w:rPr>
      </w:pPr>
      <w:r>
        <w:rPr>
          <w:rFonts w:hint="eastAsia"/>
          <w:b/>
          <w:sz w:val="21"/>
          <w:szCs w:val="21"/>
          <w:u w:val="single"/>
          <w:lang w:val="en-US" w:eastAsia="ko-KR"/>
        </w:rPr>
        <w:t>Issue 1-</w:t>
      </w:r>
      <w:r>
        <w:rPr>
          <w:rFonts w:hint="eastAsia"/>
          <w:b/>
          <w:sz w:val="21"/>
          <w:szCs w:val="21"/>
          <w:u w:val="single"/>
          <w:lang w:val="en-US" w:eastAsia="zh-CN"/>
        </w:rPr>
        <w:t>4-5</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UE performing measurements on FR1 TDD band</w:t>
      </w:r>
    </w:p>
    <w:p>
      <w:pPr>
        <w:rPr>
          <w:highlight w:val="green"/>
          <w:lang w:eastAsia="zh-CN"/>
        </w:rPr>
      </w:pPr>
      <w:r>
        <w:rPr>
          <w:rFonts w:hint="eastAsia"/>
          <w:highlight w:val="green"/>
          <w:lang w:eastAsia="zh-CN"/>
        </w:rPr>
        <w:t>A</w:t>
      </w:r>
      <w:r>
        <w:rPr>
          <w:highlight w:val="green"/>
          <w:lang w:eastAsia="zh-CN"/>
        </w:rPr>
        <w:t>greement:</w:t>
      </w:r>
    </w:p>
    <w:p>
      <w:pPr>
        <w:numPr>
          <w:ilvl w:val="0"/>
          <w:numId w:val="1"/>
        </w:numPr>
        <w:spacing w:after="120"/>
        <w:ind w:left="600"/>
        <w:rPr>
          <w:rFonts w:eastAsia="宋体"/>
          <w:sz w:val="21"/>
          <w:szCs w:val="21"/>
          <w:lang w:val="en-US" w:eastAsia="zh-CN"/>
        </w:rPr>
      </w:pPr>
      <w:r>
        <w:rPr>
          <w:rFonts w:hint="eastAsia" w:eastAsia="宋体"/>
          <w:sz w:val="21"/>
          <w:szCs w:val="21"/>
          <w:lang w:val="en-US" w:eastAsia="zh-CN"/>
        </w:rPr>
        <w:t>For intra/inter-frequency measurement without MG and CSI-RS based intra-frequency measurements, the scheduling restriction extension to intra-band/inter-band CA is identified for R19 ATG</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1"/>
          <w:numId w:val="1"/>
        </w:numPr>
        <w:spacing w:after="120"/>
        <w:ind w:left="1020"/>
        <w:rPr>
          <w:rFonts w:eastAsia="宋体"/>
          <w:sz w:val="21"/>
          <w:szCs w:val="21"/>
          <w:lang w:val="en-US" w:eastAsia="zh-CN"/>
        </w:rPr>
      </w:pPr>
      <w:r>
        <w:rPr>
          <w:rFonts w:hint="eastAsia" w:eastAsia="宋体"/>
          <w:sz w:val="21"/>
          <w:szCs w:val="21"/>
          <w:lang w:val="en-US" w:eastAsia="zh-CN"/>
        </w:rPr>
        <w:t>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w:t>
      </w:r>
    </w:p>
    <w:p>
      <w:pPr>
        <w:rPr>
          <w:b/>
          <w:sz w:val="21"/>
          <w:szCs w:val="21"/>
          <w:u w:val="single"/>
          <w:lang w:eastAsia="zh-CN"/>
        </w:rPr>
      </w:pPr>
    </w:p>
    <w:p>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4-6</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ATG UE with the antenna array performing measurements on FR1</w:t>
      </w:r>
    </w:p>
    <w:p>
      <w:pPr>
        <w:rPr>
          <w:rFonts w:hint="eastAsia"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ind w:left="600"/>
        <w:rPr>
          <w:rFonts w:hint="eastAsia" w:ascii="Times New Roman" w:hAnsi="Times New Roman" w:eastAsia="宋体" w:cs="Times New Roman"/>
          <w:sz w:val="21"/>
          <w:szCs w:val="21"/>
          <w:lang w:val="en-US" w:eastAsia="zh-CN"/>
        </w:rPr>
      </w:pPr>
      <w:r>
        <w:rPr>
          <w:rFonts w:hint="eastAsia" w:eastAsia="宋体"/>
          <w:sz w:val="21"/>
          <w:szCs w:val="21"/>
          <w:lang w:val="en-US" w:eastAsia="zh-CN"/>
        </w:rPr>
        <w:t xml:space="preserve">Proposal </w:t>
      </w:r>
      <w:r>
        <w:rPr>
          <w:rFonts w:hint="eastAsia" w:ascii="Times New Roman" w:hAnsi="Times New Roman" w:eastAsia="宋体" w:cs="Times New Roman"/>
          <w:sz w:val="21"/>
          <w:szCs w:val="21"/>
          <w:lang w:val="en-US" w:eastAsia="zh-CN"/>
        </w:rPr>
        <w:t>1: For intra/inter-frequency measurement without MG and CSI-RS based intra-frequency measurements, the scheduling restriction extension to intra-band/inter-band CA should be identified for R19 ATG</w:t>
      </w:r>
    </w:p>
    <w:p>
      <w:pPr>
        <w:numPr>
          <w:ilvl w:val="1"/>
          <w:numId w:val="1"/>
        </w:numPr>
        <w:ind w:left="102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When intra-band carrier aggregation in FR1 is configured, the scheduling restrictions due to a given serving cell also apply to all other serving cells in the same band on the symbols that fully or partially overlap with aforementioned restricted symbols.</w:t>
      </w:r>
    </w:p>
    <w:p>
      <w:pPr>
        <w:numPr>
          <w:ilvl w:val="1"/>
          <w:numId w:val="1"/>
        </w:numPr>
        <w:ind w:left="102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For inter-band CA, </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For case 2, case 3 and case 5, the scheduling restrictions on receiving PDCCH/PDSCH/TRS/CSI-RS for CQI due to SCell/PCell will not apply to another serving cell in a different band. </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If case 4 is considered, the scheduling restrictions on receiving PDCCH/PDSCH/TRS/CSI-RS for CQI due to a given serving cell should also apply to another serving cell in a different band on the symbols that fully or partially overlap with the aforementioned restricted symbols.</w:t>
      </w:r>
    </w:p>
    <w:p>
      <w:pPr>
        <w:rPr>
          <w:rFonts w:hint="eastAsia" w:eastAsia="等线"/>
          <w:sz w:val="21"/>
          <w:szCs w:val="21"/>
          <w:highlight w:val="yellow"/>
          <w:lang w:val="en-US" w:eastAsia="zh-CN"/>
        </w:rPr>
      </w:pPr>
    </w:p>
    <w:p>
      <w:pPr>
        <w:rPr>
          <w:b/>
          <w:sz w:val="21"/>
          <w:szCs w:val="21"/>
          <w:u w:val="single"/>
          <w:lang w:val="en-US" w:eastAsia="zh-CN"/>
        </w:rPr>
      </w:pPr>
    </w:p>
    <w:p>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4-7</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ATG UE performing measurement with a different subcarrier spacing than PDSCH/PDCCH on FR1</w:t>
      </w:r>
    </w:p>
    <w:p>
      <w:pPr>
        <w:rPr>
          <w:rFonts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ind w:left="600"/>
        <w:rPr>
          <w:rFonts w:hint="eastAsia" w:ascii="Times New Roman" w:hAnsi="Times New Roman" w:eastAsia="宋体" w:cs="Times New Roman"/>
          <w:sz w:val="21"/>
          <w:szCs w:val="21"/>
          <w:lang w:val="en-US" w:eastAsia="zh-CN"/>
        </w:rPr>
      </w:pPr>
      <w:r>
        <w:rPr>
          <w:rFonts w:hint="eastAsia" w:eastAsia="宋体"/>
          <w:sz w:val="21"/>
          <w:szCs w:val="21"/>
          <w:lang w:val="en-US" w:eastAsia="zh-CN"/>
        </w:rPr>
        <w:t>Proposal</w:t>
      </w:r>
      <w:r>
        <w:rPr>
          <w:rFonts w:hint="eastAsia" w:ascii="Times New Roman" w:hAnsi="Times New Roman" w:eastAsia="宋体" w:cs="Times New Roman"/>
          <w:sz w:val="21"/>
          <w:szCs w:val="21"/>
          <w:lang w:val="en-US" w:eastAsia="zh-CN"/>
        </w:rPr>
        <w:t xml:space="preserve"> 1: </w:t>
      </w:r>
    </w:p>
    <w:p>
      <w:pPr>
        <w:numPr>
          <w:ilvl w:val="1"/>
          <w:numId w:val="1"/>
        </w:numPr>
        <w:ind w:left="102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pPr>
        <w:numPr>
          <w:ilvl w:val="2"/>
          <w:numId w:val="1"/>
        </w:numPr>
        <w:ind w:left="1440"/>
        <w:rPr>
          <w:rFonts w:hint="eastAsia" w:ascii="Times New Roman" w:hAnsi="Times New Roman" w:eastAsia="宋体" w:cs="Times New Roman"/>
          <w:b w:val="0"/>
          <w:sz w:val="21"/>
          <w:szCs w:val="21"/>
          <w:u w:val="none"/>
          <w:lang w:val="en-US" w:eastAsia="zh-CN"/>
        </w:rPr>
      </w:pPr>
      <w:r>
        <w:rPr>
          <w:rFonts w:hint="eastAsia" w:ascii="Times New Roman" w:hAnsi="Times New Roman" w:eastAsia="宋体" w:cs="Times New Roman"/>
          <w:sz w:val="21"/>
          <w:szCs w:val="21"/>
          <w:lang w:val="en-US" w:eastAsia="zh-CN"/>
        </w:rPr>
        <w:t>When inter-band carrier aggregation within FR1 is configured, there are no scheduling restrictions on FR1 serving cell(s) configured in other bands than the bands in which PCell is configured.</w:t>
      </w:r>
    </w:p>
    <w:p>
      <w:pPr>
        <w:numPr>
          <w:ilvl w:val="0"/>
          <w:numId w:val="1"/>
        </w:numPr>
        <w:ind w:left="600"/>
        <w:rPr>
          <w:rFonts w:hint="eastAsia" w:ascii="Times New Roman" w:hAnsi="Times New Roman" w:eastAsia="宋体" w:cs="Times New Roman"/>
          <w:sz w:val="21"/>
          <w:szCs w:val="21"/>
          <w:lang w:val="en-US" w:eastAsia="zh-CN"/>
        </w:rPr>
      </w:pPr>
      <w:r>
        <w:rPr>
          <w:rFonts w:hint="eastAsia" w:eastAsia="宋体"/>
          <w:sz w:val="21"/>
          <w:szCs w:val="21"/>
          <w:lang w:val="en-US" w:eastAsia="zh-CN"/>
        </w:rPr>
        <w:t>Proposal</w:t>
      </w:r>
      <w:r>
        <w:rPr>
          <w:rFonts w:hint="eastAsia" w:ascii="Times New Roman" w:hAnsi="Times New Roman" w:eastAsia="宋体" w:cs="Times New Roman"/>
          <w:sz w:val="21"/>
          <w:szCs w:val="21"/>
          <w:lang w:val="en-US" w:eastAsia="zh-CN"/>
        </w:rPr>
        <w:t xml:space="preserve"> 2: </w:t>
      </w:r>
    </w:p>
    <w:p>
      <w:pPr>
        <w:numPr>
          <w:ilvl w:val="1"/>
          <w:numId w:val="1"/>
        </w:numPr>
        <w:ind w:left="102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Scheduling availability of UE performing measurements with a different subcarrier spacing than PDSCH/PDCCH on FR1 for RLM, BFD, CBD, intra/inter-frequency measurement without MG, L1-RSRP measurement, and L1-SINR measurement following restrictions should be considered for inta-band carrier aggregation:</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When intra-band carrier aggregation in FR1 is configured, the scheduling restrictions on FR1 serving PCell should apply to all serving cells in the same band on the symbols that fully or partially overlap with restricted symbols.</w:t>
      </w:r>
    </w:p>
    <w:p>
      <w:pPr>
        <w:numPr>
          <w:ilvl w:val="1"/>
          <w:numId w:val="1"/>
        </w:numPr>
        <w:ind w:left="102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Scheduling availability of UE performing measurements with a different subcarrier spacing than PDSCH/PDCCH on FR1 for BFD, intra/inter-frequency measurement without MG, L1-RSRP measurement, and L1-SINR measurement following restrictions should be considered for inter-band carrier aggregation:</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with omnidirectional antennas on the bands of PCC and SCC, there are no scheduling restrictions on FR1 SCell configured in other bands than the bands in which PCell is configured.</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with the antenna array on PCell and one or more omni-directional antenna on SCell, there are no scheduling restrictions on FR1 SCel configured in other bands than the bands in which PCell is configured.</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with the omni-directional antenna on PCC and antenna array on SCC, there are no scheduling restrictions on FR1 SCell configured in other bands than the bands in which PCell is configured.</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pPr>
        <w:numPr>
          <w:ilvl w:val="2"/>
          <w:numId w:val="1"/>
        </w:numPr>
        <w:ind w:left="144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with the antenna array on both PCC and SCC, and two Rx beams can be formed simultaneously, there are no scheduling restrictions on FR1 SCell configured in other bands than the bands in which PCell is configured.</w:t>
      </w:r>
    </w:p>
    <w:p>
      <w:pPr>
        <w:rPr>
          <w:b/>
          <w:sz w:val="21"/>
          <w:szCs w:val="21"/>
          <w:u w:val="single"/>
          <w:lang w:val="en-US" w:eastAsia="zh-CN"/>
        </w:rPr>
      </w:pPr>
    </w:p>
    <w:p>
      <w:pPr>
        <w:rPr>
          <w:b/>
          <w:sz w:val="21"/>
          <w:szCs w:val="21"/>
          <w:u w:val="single"/>
          <w:lang w:val="en-US" w:eastAsia="zh-CN"/>
        </w:rPr>
      </w:pPr>
      <w:r>
        <w:rPr>
          <w:rFonts w:hint="eastAsia"/>
          <w:b/>
          <w:sz w:val="21"/>
          <w:szCs w:val="21"/>
          <w:u w:val="single"/>
          <w:lang w:val="en-US" w:eastAsia="zh-CN"/>
        </w:rPr>
        <w:t>Issue 1-4-8: Sharing factor between L1 measurement and RRM measurement</w:t>
      </w:r>
    </w:p>
    <w:p>
      <w:pPr>
        <w:rPr>
          <w:rFonts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ind w:left="600"/>
        <w:rPr>
          <w:b/>
          <w:sz w:val="21"/>
          <w:szCs w:val="21"/>
          <w:u w:val="single"/>
          <w:lang w:eastAsia="zh-CN"/>
        </w:rPr>
      </w:pPr>
      <w:r>
        <w:rPr>
          <w:rFonts w:hint="eastAsia" w:eastAsia="宋体"/>
          <w:sz w:val="21"/>
          <w:szCs w:val="21"/>
          <w:lang w:val="en-US" w:eastAsia="zh-CN"/>
        </w:rPr>
        <w:t>Proposal</w:t>
      </w:r>
      <w:r>
        <w:rPr>
          <w:rFonts w:hint="eastAsia" w:ascii="Times New Roman" w:hAnsi="Times New Roman" w:eastAsia="宋体" w:cs="Times New Roman"/>
          <w:sz w:val="21"/>
          <w:szCs w:val="21"/>
          <w:lang w:val="en-US" w:eastAsia="zh-CN"/>
        </w:rPr>
        <w:t xml:space="preserve"> 1: Reuse the legacy sharing factor K</w:t>
      </w:r>
      <w:r>
        <w:rPr>
          <w:rFonts w:hint="eastAsia" w:ascii="Times New Roman" w:hAnsi="Times New Roman" w:eastAsia="宋体" w:cs="Times New Roman"/>
          <w:sz w:val="21"/>
          <w:szCs w:val="21"/>
          <w:vertAlign w:val="baseline"/>
          <w:lang w:val="en-US" w:eastAsia="zh-CN"/>
        </w:rPr>
        <w:t>layer1_measurement</w:t>
      </w:r>
      <w:r>
        <w:rPr>
          <w:rFonts w:hint="eastAsia" w:ascii="Times New Roman" w:hAnsi="Times New Roman" w:eastAsia="宋体" w:cs="Times New Roman"/>
          <w:sz w:val="21"/>
          <w:szCs w:val="21"/>
          <w:lang w:val="en-US" w:eastAsia="zh-CN"/>
        </w:rPr>
        <w:t xml:space="preserve"> and P</w:t>
      </w:r>
      <w:r>
        <w:rPr>
          <w:rFonts w:hint="eastAsia" w:ascii="Times New Roman" w:hAnsi="Times New Roman" w:eastAsia="宋体" w:cs="Times New Roman"/>
          <w:sz w:val="21"/>
          <w:szCs w:val="21"/>
          <w:vertAlign w:val="baseline"/>
          <w:lang w:val="en-US" w:eastAsia="zh-CN"/>
        </w:rPr>
        <w:t>sharing factor</w:t>
      </w:r>
      <w:r>
        <w:rPr>
          <w:rFonts w:hint="eastAsia" w:ascii="Times New Roman" w:hAnsi="Times New Roman" w:eastAsia="宋体" w:cs="Times New Roman"/>
          <w:sz w:val="21"/>
          <w:szCs w:val="21"/>
          <w:lang w:val="en-US" w:eastAsia="zh-CN"/>
        </w:rPr>
        <w:t xml:space="preserve"> between L1 and RRM measurements</w:t>
      </w:r>
    </w:p>
    <w:p>
      <w:pPr>
        <w:pStyle w:val="2"/>
        <w:pBdr>
          <w:top w:val="single" w:color="000000" w:sz="12" w:space="3"/>
          <w:left w:val="none" w:color="000000" w:sz="0" w:space="0"/>
          <w:bottom w:val="none" w:color="000000" w:sz="0" w:space="0"/>
          <w:right w:val="none" w:color="000000" w:sz="0" w:space="0"/>
        </w:pBdr>
        <w:suppressAutoHyphens/>
        <w:jc w:val="both"/>
        <w:rPr>
          <w:rFonts w:eastAsia="Arial" w:cs="Arial"/>
          <w:sz w:val="28"/>
          <w:szCs w:val="22"/>
          <w:lang w:eastAsia="zh-CN"/>
        </w:rPr>
      </w:pPr>
      <w:r>
        <w:rPr>
          <w:rFonts w:eastAsia="Arial" w:cs="Arial"/>
          <w:sz w:val="28"/>
          <w:szCs w:val="22"/>
          <w:lang w:eastAsia="zh-CN"/>
        </w:rPr>
        <w:t>Reference</w:t>
      </w:r>
    </w:p>
    <w:p>
      <w:pPr>
        <w:rPr>
          <w:bCs/>
          <w:sz w:val="21"/>
          <w:szCs w:val="21"/>
        </w:rPr>
      </w:pPr>
      <w:r>
        <w:rPr>
          <w:bCs/>
          <w:sz w:val="21"/>
          <w:szCs w:val="21"/>
        </w:rPr>
        <w:t>[1] R4-241</w:t>
      </w:r>
      <w:r>
        <w:rPr>
          <w:rFonts w:hint="eastAsia" w:eastAsia="宋体"/>
          <w:bCs/>
          <w:sz w:val="21"/>
          <w:szCs w:val="21"/>
          <w:lang w:val="en-US" w:eastAsia="zh-CN"/>
        </w:rPr>
        <w:t>8275</w:t>
      </w:r>
      <w:r>
        <w:rPr>
          <w:bCs/>
          <w:sz w:val="21"/>
          <w:szCs w:val="21"/>
        </w:rPr>
        <w:t xml:space="preserve">, </w:t>
      </w:r>
      <w:r>
        <w:rPr>
          <w:rFonts w:hint="eastAsia"/>
          <w:bCs/>
          <w:sz w:val="21"/>
          <w:szCs w:val="21"/>
        </w:rPr>
        <w:t>Topic summary for [113][217] NR_ATG_enh</w:t>
      </w:r>
    </w:p>
    <w:p>
      <w:pPr>
        <w:rPr>
          <w:b/>
          <w:sz w:val="21"/>
          <w:szCs w:val="21"/>
          <w:u w:val="single"/>
          <w:lang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linkStyles/>
  <w:attachedTemplate r:id="rId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BC4A9D"/>
    <w:rsid w:val="066478E0"/>
    <w:rsid w:val="08036534"/>
    <w:rsid w:val="09575F33"/>
    <w:rsid w:val="127C6D88"/>
    <w:rsid w:val="143E502C"/>
    <w:rsid w:val="18D42CAA"/>
    <w:rsid w:val="1CBB1BB0"/>
    <w:rsid w:val="1D777F86"/>
    <w:rsid w:val="1E452485"/>
    <w:rsid w:val="1F8E3470"/>
    <w:rsid w:val="21F046BC"/>
    <w:rsid w:val="25F93F73"/>
    <w:rsid w:val="2BC55573"/>
    <w:rsid w:val="2BD66B3D"/>
    <w:rsid w:val="2D715F5C"/>
    <w:rsid w:val="356362F6"/>
    <w:rsid w:val="363870C8"/>
    <w:rsid w:val="37160E14"/>
    <w:rsid w:val="3ECD11AB"/>
    <w:rsid w:val="41D67276"/>
    <w:rsid w:val="42A61C74"/>
    <w:rsid w:val="42E9170E"/>
    <w:rsid w:val="43BD7978"/>
    <w:rsid w:val="44345155"/>
    <w:rsid w:val="454D3C30"/>
    <w:rsid w:val="458D1B72"/>
    <w:rsid w:val="4789254C"/>
    <w:rsid w:val="4BE82A4F"/>
    <w:rsid w:val="4C6C4F33"/>
    <w:rsid w:val="4C8D6D3F"/>
    <w:rsid w:val="4CBA32E1"/>
    <w:rsid w:val="4F5E791D"/>
    <w:rsid w:val="4FBD263B"/>
    <w:rsid w:val="55E6360E"/>
    <w:rsid w:val="5CB839E2"/>
    <w:rsid w:val="5E4A20CD"/>
    <w:rsid w:val="5EAD270C"/>
    <w:rsid w:val="64D608B5"/>
    <w:rsid w:val="660A444F"/>
    <w:rsid w:val="66BF6EA0"/>
    <w:rsid w:val="66E6541B"/>
    <w:rsid w:val="68024046"/>
    <w:rsid w:val="69AF145F"/>
    <w:rsid w:val="6AD273B5"/>
    <w:rsid w:val="72115020"/>
    <w:rsid w:val="72651D84"/>
    <w:rsid w:val="74853EE6"/>
    <w:rsid w:val="749C7F10"/>
    <w:rsid w:val="76AC4572"/>
    <w:rsid w:val="789A04F9"/>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59"/>
    <w:semiHidden/>
    <w:unhideWhenUsed/>
    <w:qFormat/>
    <w:uiPriority w:val="99"/>
    <w:rPr>
      <w:rFonts w:ascii="宋体"/>
      <w:sz w:val="18"/>
      <w:szCs w:val="18"/>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70"/>
    <w:semiHidden/>
    <w:unhideWhenUsed/>
    <w:qFormat/>
    <w:uiPriority w:val="99"/>
    <w:pPr>
      <w:ind w:left="100" w:leftChars="2500"/>
    </w:pPr>
  </w:style>
  <w:style w:type="paragraph" w:styleId="33">
    <w:name w:val="Balloon Text"/>
    <w:basedOn w:val="1"/>
    <w:link w:val="60"/>
    <w:semiHidden/>
    <w:unhideWhenUsed/>
    <w:qFormat/>
    <w:uiPriority w:val="99"/>
    <w:pPr>
      <w:spacing w:after="0"/>
    </w:pPr>
    <w:rPr>
      <w:sz w:val="18"/>
      <w:szCs w:val="18"/>
    </w:rPr>
  </w:style>
  <w:style w:type="paragraph" w:styleId="34">
    <w:name w:val="footer"/>
    <w:basedOn w:val="35"/>
    <w:link w:val="69"/>
    <w:qFormat/>
    <w:uiPriority w:val="0"/>
    <w:pPr>
      <w:jc w:val="center"/>
    </w:pPr>
    <w:rPr>
      <w:i/>
    </w:rPr>
  </w:style>
  <w:style w:type="paragraph" w:styleId="35">
    <w:name w:val="header"/>
    <w:basedOn w:val="1"/>
    <w:link w:val="68"/>
    <w:qFormat/>
    <w:uiPriority w:val="0"/>
    <w:pPr>
      <w:widowControl w:val="0"/>
    </w:pPr>
    <w:rPr>
      <w:rFonts w:ascii="Arial" w:hAnsi="Arial"/>
      <w:b/>
      <w:sz w:val="18"/>
    </w:rPr>
  </w:style>
  <w:style w:type="paragraph" w:styleId="36">
    <w:name w:val="footnote text"/>
    <w:basedOn w:val="1"/>
    <w:link w:val="76"/>
    <w:semiHidden/>
    <w:qFormat/>
    <w:uiPriority w:val="0"/>
    <w:pPr>
      <w:keepLines/>
      <w:spacing w:after="0"/>
      <w:ind w:left="454" w:hanging="454"/>
    </w:pPr>
    <w:rPr>
      <w:sz w:val="16"/>
    </w:rPr>
  </w:style>
  <w:style w:type="paragraph" w:styleId="37">
    <w:name w:val="List 5"/>
    <w:basedOn w:val="38"/>
    <w:semiHidden/>
    <w:qFormat/>
    <w:uiPriority w:val="0"/>
    <w:pPr>
      <w:ind w:left="1702"/>
    </w:pPr>
  </w:style>
  <w:style w:type="paragraph" w:styleId="38">
    <w:name w:val="List 4"/>
    <w:basedOn w:val="12"/>
    <w:semiHidden/>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otnote reference"/>
    <w:basedOn w:val="45"/>
    <w:semiHidden/>
    <w:qFormat/>
    <w:uiPriority w:val="0"/>
    <w:rPr>
      <w:b/>
      <w:position w:val="6"/>
      <w:sz w:val="16"/>
    </w:rPr>
  </w:style>
  <w:style w:type="character" w:customStyle="1" w:styleId="47">
    <w:name w:val="Heading 1 Char"/>
    <w:link w:val="2"/>
    <w:qFormat/>
    <w:uiPriority w:val="0"/>
    <w:rPr>
      <w:rFonts w:ascii="Arial" w:hAnsi="Arial" w:eastAsia="Times New Roman"/>
      <w:sz w:val="36"/>
    </w:rPr>
  </w:style>
  <w:style w:type="character" w:customStyle="1" w:styleId="48">
    <w:name w:val="Heading 2 Char"/>
    <w:link w:val="3"/>
    <w:qFormat/>
    <w:uiPriority w:val="0"/>
    <w:rPr>
      <w:rFonts w:ascii="Arial" w:hAnsi="Arial" w:eastAsia="Times New Roman"/>
      <w:sz w:val="32"/>
    </w:rPr>
  </w:style>
  <w:style w:type="character" w:customStyle="1" w:styleId="49">
    <w:name w:val="Heading 3 Char"/>
    <w:link w:val="4"/>
    <w:qFormat/>
    <w:uiPriority w:val="0"/>
    <w:rPr>
      <w:rFonts w:ascii="Arial" w:hAnsi="Arial" w:eastAsia="Times New Roman"/>
      <w:sz w:val="28"/>
    </w:rPr>
  </w:style>
  <w:style w:type="character" w:customStyle="1" w:styleId="50">
    <w:name w:val="Heading 4 Char"/>
    <w:link w:val="5"/>
    <w:qFormat/>
    <w:uiPriority w:val="0"/>
    <w:rPr>
      <w:rFonts w:ascii="Arial" w:hAnsi="Arial" w:eastAsia="Times New Roman"/>
      <w:sz w:val="24"/>
    </w:rPr>
  </w:style>
  <w:style w:type="character" w:customStyle="1" w:styleId="51">
    <w:name w:val="Heading 5 Char"/>
    <w:link w:val="6"/>
    <w:qFormat/>
    <w:uiPriority w:val="0"/>
    <w:rPr>
      <w:rFonts w:ascii="Arial" w:hAnsi="Arial" w:eastAsia="Times New Roman"/>
      <w:sz w:val="22"/>
    </w:rPr>
  </w:style>
  <w:style w:type="character" w:customStyle="1" w:styleId="52">
    <w:name w:val="Heading 6 Char"/>
    <w:link w:val="7"/>
    <w:qFormat/>
    <w:uiPriority w:val="0"/>
    <w:rPr>
      <w:rFonts w:ascii="Arial" w:hAnsi="Arial" w:eastAsia="Times New Roman"/>
    </w:rPr>
  </w:style>
  <w:style w:type="character" w:customStyle="1" w:styleId="53">
    <w:name w:val="Heading 7 Char"/>
    <w:link w:val="9"/>
    <w:qFormat/>
    <w:uiPriority w:val="0"/>
    <w:rPr>
      <w:rFonts w:ascii="Arial" w:hAnsi="Arial" w:eastAsia="Times New Roman"/>
    </w:rPr>
  </w:style>
  <w:style w:type="character" w:customStyle="1" w:styleId="54">
    <w:name w:val="Heading 8 Char"/>
    <w:link w:val="10"/>
    <w:qFormat/>
    <w:uiPriority w:val="0"/>
    <w:rPr>
      <w:rFonts w:ascii="Arial" w:hAnsi="Arial" w:eastAsia="Times New Roman"/>
      <w:sz w:val="36"/>
    </w:rPr>
  </w:style>
  <w:style w:type="character" w:customStyle="1" w:styleId="55">
    <w:name w:val="Heading 9 Char"/>
    <w:link w:val="11"/>
    <w:qFormat/>
    <w:uiPriority w:val="0"/>
    <w:rPr>
      <w:rFonts w:ascii="Arial" w:hAnsi="Arial" w:eastAsia="Times New Roman"/>
      <w:sz w:val="36"/>
    </w:rPr>
  </w:style>
  <w:style w:type="paragraph" w:customStyle="1" w:styleId="56">
    <w:name w:val="TAC"/>
    <w:basedOn w:val="57"/>
    <w:link w:val="58"/>
    <w:qFormat/>
    <w:uiPriority w:val="0"/>
    <w:pPr>
      <w:jc w:val="center"/>
    </w:pPr>
  </w:style>
  <w:style w:type="paragraph" w:customStyle="1" w:styleId="57">
    <w:name w:val="TAL"/>
    <w:basedOn w:val="1"/>
    <w:link w:val="61"/>
    <w:qFormat/>
    <w:uiPriority w:val="0"/>
    <w:pPr>
      <w:keepNext/>
      <w:keepLines/>
      <w:spacing w:after="0"/>
    </w:pPr>
    <w:rPr>
      <w:rFonts w:ascii="Arial" w:hAnsi="Arial"/>
      <w:sz w:val="18"/>
    </w:rPr>
  </w:style>
  <w:style w:type="character" w:customStyle="1" w:styleId="58">
    <w:name w:val="TAC Char"/>
    <w:link w:val="56"/>
    <w:qFormat/>
    <w:uiPriority w:val="0"/>
    <w:rPr>
      <w:rFonts w:ascii="Arial" w:hAnsi="Arial" w:eastAsia="Times New Roman"/>
      <w:sz w:val="18"/>
    </w:rPr>
  </w:style>
  <w:style w:type="character" w:customStyle="1" w:styleId="59">
    <w:name w:val="Document Map Char"/>
    <w:link w:val="29"/>
    <w:semiHidden/>
    <w:qFormat/>
    <w:uiPriority w:val="99"/>
    <w:rPr>
      <w:rFonts w:ascii="宋体" w:hAnsi="Times New Roman"/>
      <w:sz w:val="18"/>
      <w:szCs w:val="18"/>
      <w:lang w:val="en-GB" w:eastAsia="en-US"/>
    </w:rPr>
  </w:style>
  <w:style w:type="character" w:customStyle="1" w:styleId="60">
    <w:name w:val="Balloon Text Char"/>
    <w:link w:val="33"/>
    <w:semiHidden/>
    <w:qFormat/>
    <w:uiPriority w:val="99"/>
    <w:rPr>
      <w:rFonts w:ascii="Times New Roman" w:hAnsi="Times New Roman"/>
      <w:sz w:val="18"/>
      <w:szCs w:val="18"/>
      <w:lang w:val="en-GB" w:eastAsia="en-US"/>
    </w:rPr>
  </w:style>
  <w:style w:type="character" w:customStyle="1" w:styleId="61">
    <w:name w:val="TAL Car"/>
    <w:link w:val="57"/>
    <w:qFormat/>
    <w:locked/>
    <w:uiPriority w:val="0"/>
    <w:rPr>
      <w:rFonts w:ascii="Arial" w:hAnsi="Arial" w:eastAsia="Times New Roman"/>
      <w:sz w:val="18"/>
    </w:rPr>
  </w:style>
  <w:style w:type="paragraph" w:customStyle="1" w:styleId="62">
    <w:name w:val="TAH"/>
    <w:basedOn w:val="56"/>
    <w:link w:val="66"/>
    <w:qFormat/>
    <w:uiPriority w:val="0"/>
    <w:rPr>
      <w:b/>
    </w:rPr>
  </w:style>
  <w:style w:type="character" w:customStyle="1" w:styleId="63">
    <w:name w:val="TH Char"/>
    <w:link w:val="64"/>
    <w:qFormat/>
    <w:locked/>
    <w:uiPriority w:val="0"/>
    <w:rPr>
      <w:rFonts w:ascii="Arial" w:hAnsi="Arial" w:eastAsia="Times New Roman"/>
      <w:b/>
    </w:rPr>
  </w:style>
  <w:style w:type="paragraph" w:customStyle="1" w:styleId="64">
    <w:name w:val="TH"/>
    <w:basedOn w:val="1"/>
    <w:link w:val="63"/>
    <w:qFormat/>
    <w:uiPriority w:val="0"/>
    <w:pPr>
      <w:keepNext/>
      <w:keepLines/>
      <w:spacing w:before="60"/>
      <w:jc w:val="center"/>
    </w:pPr>
    <w:rPr>
      <w:rFonts w:ascii="Arial" w:hAnsi="Arial"/>
      <w:b/>
    </w:rPr>
  </w:style>
  <w:style w:type="paragraph" w:customStyle="1" w:styleId="65">
    <w:name w:val="TAN"/>
    <w:basedOn w:val="57"/>
    <w:link w:val="67"/>
    <w:qFormat/>
    <w:uiPriority w:val="0"/>
    <w:pPr>
      <w:ind w:left="851" w:hanging="851"/>
    </w:pPr>
  </w:style>
  <w:style w:type="character" w:customStyle="1" w:styleId="66">
    <w:name w:val="TAH Car"/>
    <w:link w:val="62"/>
    <w:qFormat/>
    <w:uiPriority w:val="0"/>
    <w:rPr>
      <w:rFonts w:ascii="Arial" w:hAnsi="Arial" w:eastAsia="Times New Roman"/>
      <w:b/>
      <w:sz w:val="18"/>
    </w:rPr>
  </w:style>
  <w:style w:type="character" w:customStyle="1" w:styleId="67">
    <w:name w:val="TAN Char"/>
    <w:link w:val="65"/>
    <w:qFormat/>
    <w:uiPriority w:val="0"/>
    <w:rPr>
      <w:rFonts w:ascii="Arial" w:hAnsi="Arial" w:eastAsia="Times New Roman"/>
      <w:sz w:val="18"/>
    </w:rPr>
  </w:style>
  <w:style w:type="character" w:customStyle="1" w:styleId="68">
    <w:name w:val="Header Char"/>
    <w:link w:val="35"/>
    <w:qFormat/>
    <w:uiPriority w:val="0"/>
    <w:rPr>
      <w:rFonts w:ascii="Arial" w:hAnsi="Arial" w:eastAsia="Times New Roman"/>
      <w:b/>
      <w:sz w:val="18"/>
    </w:rPr>
  </w:style>
  <w:style w:type="character" w:customStyle="1" w:styleId="69">
    <w:name w:val="Footer Char"/>
    <w:link w:val="34"/>
    <w:qFormat/>
    <w:uiPriority w:val="0"/>
    <w:rPr>
      <w:rFonts w:ascii="Arial" w:hAnsi="Arial" w:eastAsia="Times New Roman"/>
      <w:b/>
      <w:i/>
      <w:sz w:val="18"/>
    </w:rPr>
  </w:style>
  <w:style w:type="character" w:customStyle="1" w:styleId="70">
    <w:name w:val="Date Char"/>
    <w:link w:val="32"/>
    <w:semiHidden/>
    <w:qFormat/>
    <w:uiPriority w:val="99"/>
    <w:rPr>
      <w:rFonts w:ascii="Times New Roman" w:hAnsi="Times New Roman"/>
      <w:lang w:val="en-GB" w:eastAsia="en-US"/>
    </w:rPr>
  </w:style>
  <w:style w:type="paragraph" w:styleId="71">
    <w:name w:val="List Paragraph"/>
    <w:basedOn w:val="1"/>
    <w:link w:val="102"/>
    <w:qFormat/>
    <w:uiPriority w:val="34"/>
    <w:pPr>
      <w:ind w:firstLine="420" w:firstLineChars="200"/>
    </w:pPr>
  </w:style>
  <w:style w:type="character" w:customStyle="1" w:styleId="72">
    <w:name w:val="texhtml"/>
    <w:basedOn w:val="45"/>
    <w:qFormat/>
    <w:uiPriority w:val="0"/>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T"/>
    <w:basedOn w:val="2"/>
    <w:next w:val="1"/>
    <w:qFormat/>
    <w:uiPriority w:val="0"/>
    <w:pPr>
      <w:outlineLvl w:val="9"/>
    </w:pPr>
  </w:style>
  <w:style w:type="character" w:customStyle="1" w:styleId="76">
    <w:name w:val="Footnote Text Char"/>
    <w:basedOn w:val="45"/>
    <w:link w:val="36"/>
    <w:semiHidden/>
    <w:qFormat/>
    <w:uiPriority w:val="0"/>
    <w:rPr>
      <w:rFonts w:ascii="Times New Roman" w:hAnsi="Times New Roman" w:eastAsia="Times New Roman"/>
      <w:sz w:val="16"/>
    </w:rPr>
  </w:style>
  <w:style w:type="paragraph" w:customStyle="1" w:styleId="77">
    <w:name w:val="TF"/>
    <w:basedOn w:val="64"/>
    <w:qFormat/>
    <w:uiPriority w:val="0"/>
    <w:pPr>
      <w:keepNext w:val="0"/>
      <w:spacing w:before="0" w:after="240"/>
    </w:pPr>
  </w:style>
  <w:style w:type="paragraph" w:customStyle="1" w:styleId="78">
    <w:name w:val="NO"/>
    <w:basedOn w:val="1"/>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7">
    <w:name w:val="TAR"/>
    <w:basedOn w:val="57"/>
    <w:qFormat/>
    <w:uiPriority w:val="0"/>
    <w:pPr>
      <w:jc w:val="right"/>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Editor's Note"/>
    <w:basedOn w:val="78"/>
    <w:qFormat/>
    <w:uiPriority w:val="0"/>
    <w:rPr>
      <w:color w:val="FF0000"/>
    </w:rPr>
  </w:style>
  <w:style w:type="paragraph" w:customStyle="1" w:styleId="96">
    <w:name w:val="B1"/>
    <w:basedOn w:val="14"/>
    <w:qFormat/>
    <w:uiPriority w:val="0"/>
  </w:style>
  <w:style w:type="paragraph" w:customStyle="1" w:styleId="97">
    <w:name w:val="B2"/>
    <w:basedOn w:val="13"/>
    <w:qFormat/>
    <w:uiPriority w:val="0"/>
  </w:style>
  <w:style w:type="paragraph" w:customStyle="1" w:styleId="98">
    <w:name w:val="B3"/>
    <w:basedOn w:val="12"/>
    <w:qFormat/>
    <w:uiPriority w:val="0"/>
  </w:style>
  <w:style w:type="paragraph" w:customStyle="1" w:styleId="99">
    <w:name w:val="B4"/>
    <w:basedOn w:val="38"/>
    <w:qFormat/>
    <w:uiPriority w:val="0"/>
  </w:style>
  <w:style w:type="paragraph" w:customStyle="1" w:styleId="100">
    <w:name w:val="B5"/>
    <w:basedOn w:val="37"/>
    <w:qFormat/>
    <w:uiPriority w:val="0"/>
  </w:style>
  <w:style w:type="paragraph" w:customStyle="1" w:styleId="101">
    <w:name w:val="ZTD"/>
    <w:basedOn w:val="89"/>
    <w:qFormat/>
    <w:uiPriority w:val="0"/>
    <w:pPr>
      <w:framePr w:hRule="auto" w:y="852"/>
    </w:pPr>
    <w:rPr>
      <w:i w:val="0"/>
      <w:sz w:val="40"/>
    </w:rPr>
  </w:style>
  <w:style w:type="character" w:customStyle="1" w:styleId="102">
    <w:name w:val="List Paragraph Char"/>
    <w:link w:val="71"/>
    <w:qFormat/>
    <w:locked/>
    <w:uiPriority w:val="34"/>
    <w:rPr>
      <w:rFonts w:ascii="Times New Roman" w:hAnsi="Times New Roman" w:eastAsia="Times New Roman"/>
      <w:lang w:val="en-GB" w:eastAsia="en-GB" w:bidi="ar-SA"/>
    </w:rPr>
  </w:style>
  <w:style w:type="paragraph" w:customStyle="1" w:styleId="103">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4</Pages>
  <Words>925</Words>
  <Characters>5654</Characters>
  <Lines>141</Lines>
  <Paragraphs>111</Paragraphs>
  <TotalTime>6</TotalTime>
  <ScaleCrop>false</ScaleCrop>
  <LinksUpToDate>false</LinksUpToDate>
  <CharactersWithSpaces>6468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CMCC-shiyuan-v2</cp:lastModifiedBy>
  <dcterms:modified xsi:type="dcterms:W3CDTF">2024-11-22T16:32:32Z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2052-11.8.2.12085</vt:lpwstr>
  </property>
  <property fmtid="{D5CDD505-2E9C-101B-9397-08002B2CF9AE}" pid="15" name="ICV">
    <vt:lpwstr>633DFDB7C5CE4ABEA70C69A11FBF1825</vt:lpwstr>
  </property>
</Properties>
</file>